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15F32204" w:rsidR="007A5B38" w:rsidRPr="000C5734" w:rsidRDefault="005C33D4" w:rsidP="007A5B38">
      <w:pPr>
        <w:pStyle w:val="3GPPHeader"/>
        <w:rPr>
          <w:highlight w:val="yellow"/>
          <w:lang w:val="en-US"/>
        </w:rPr>
      </w:pPr>
      <w:r w:rsidRPr="005C33D4">
        <w:rPr>
          <w:lang w:val="en-US"/>
        </w:rPr>
        <w:t>3GPP TSG RAN WG1 Meeting #92</w:t>
      </w:r>
      <w:r w:rsidR="00822F44">
        <w:rPr>
          <w:lang w:val="en-US"/>
        </w:rPr>
        <w:t>bis</w:t>
      </w:r>
      <w:r w:rsidR="007A5B38" w:rsidRPr="000C5734">
        <w:rPr>
          <w:lang w:val="en-US"/>
        </w:rPr>
        <w:tab/>
      </w:r>
      <w:r w:rsidR="00E178C0" w:rsidRPr="00E178C0">
        <w:rPr>
          <w:lang w:val="en-US"/>
        </w:rPr>
        <w:t>R1-180</w:t>
      </w:r>
      <w:r w:rsidR="00822F44">
        <w:rPr>
          <w:lang w:val="en-US"/>
        </w:rPr>
        <w:t>3938</w:t>
      </w:r>
    </w:p>
    <w:p w14:paraId="161050DA" w14:textId="4550D9A6" w:rsidR="007A5B38" w:rsidRPr="007679B0" w:rsidRDefault="00822F44" w:rsidP="007A5B38">
      <w:pPr>
        <w:pStyle w:val="3GPPHeader"/>
        <w:rPr>
          <w:lang w:val="en-US"/>
        </w:rPr>
      </w:pPr>
      <w:r>
        <w:rPr>
          <w:lang w:val="en-US"/>
        </w:rPr>
        <w:t>Sanya</w:t>
      </w:r>
      <w:r w:rsidR="005C33D4" w:rsidRPr="005C33D4">
        <w:rPr>
          <w:lang w:val="en-US"/>
        </w:rPr>
        <w:t xml:space="preserve">, </w:t>
      </w:r>
      <w:r>
        <w:rPr>
          <w:lang w:val="en-US"/>
        </w:rPr>
        <w:t>China, April 16-20</w:t>
      </w:r>
      <w:r w:rsidR="005C33D4" w:rsidRPr="005C33D4">
        <w:rPr>
          <w:lang w:val="en-US"/>
        </w:rPr>
        <w:t>,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AB426F8" w:rsidR="00E90E49" w:rsidRPr="00327997" w:rsidRDefault="003D3C45" w:rsidP="00327997">
      <w:pPr>
        <w:pStyle w:val="3GPPHeader"/>
      </w:pPr>
      <w:r w:rsidRPr="00327997">
        <w:t>Title:</w:t>
      </w:r>
      <w:r w:rsidR="00E90E49" w:rsidRPr="00327997">
        <w:tab/>
      </w:r>
      <w:r w:rsidR="00E178C0" w:rsidRPr="00E178C0">
        <w:t>Remaining Issue of Soft Buffer Management</w:t>
      </w:r>
    </w:p>
    <w:p w14:paraId="2D554DE3" w14:textId="6F61985B" w:rsidR="00952A24" w:rsidRPr="00327997" w:rsidRDefault="00952A24" w:rsidP="00327997">
      <w:pPr>
        <w:pStyle w:val="3GPPHeader"/>
      </w:pPr>
      <w:r w:rsidRPr="00327997">
        <w:t>Agenda Item:</w:t>
      </w:r>
      <w:r w:rsidRPr="00327997">
        <w:tab/>
      </w:r>
      <w:r w:rsidR="00E178C0" w:rsidRPr="00E178C0">
        <w:t>7.1.3.3.5</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C3FF875" w14:textId="20A4C215" w:rsidR="00BF7642" w:rsidRDefault="00E178C0" w:rsidP="002611E7">
      <w:pPr>
        <w:pStyle w:val="BodyText"/>
      </w:pPr>
      <w:r>
        <w:t>In</w:t>
      </w:r>
      <w:r w:rsidR="00DA782F">
        <w:t xml:space="preserve"> RAN#79</w:t>
      </w:r>
      <w:r w:rsidR="00BF7642">
        <w:t xml:space="preserve">, </w:t>
      </w:r>
      <w:r w:rsidR="00DA782F">
        <w:t xml:space="preserve">UE features were discussed and RAN made some agreements on optional/mandatory </w:t>
      </w:r>
      <w:r w:rsidR="00E70E9D">
        <w:t xml:space="preserve">support of some of the features (See LS from RAN in </w:t>
      </w:r>
      <w:r w:rsidR="00E70E9D" w:rsidRPr="00DA782F">
        <w:t>RP-180596</w:t>
      </w:r>
      <w:r w:rsidR="00E70E9D">
        <w:t xml:space="preserve">). In this document, we provide some technical input to forming a RAN1 recommendation on support of uplink LBRM feature </w:t>
      </w:r>
      <w:r w:rsidR="006C0D5E">
        <w:t>(</w:t>
      </w:r>
      <w:r w:rsidR="00E70E9D">
        <w:t>5-</w:t>
      </w:r>
      <w:r w:rsidR="009A6C3C">
        <w:t>2</w:t>
      </w:r>
      <w:r w:rsidR="00E70E9D">
        <w:t>5</w:t>
      </w:r>
      <w:r w:rsidR="006C0D5E">
        <w:t>)</w:t>
      </w:r>
      <w:r w:rsidR="00E70E9D">
        <w:t xml:space="preserve">. </w:t>
      </w:r>
    </w:p>
    <w:p w14:paraId="3CB8F8BC" w14:textId="44249A27" w:rsidR="004000E8" w:rsidRDefault="004000E8" w:rsidP="00CE0424">
      <w:pPr>
        <w:pStyle w:val="Heading1"/>
      </w:pPr>
      <w:bookmarkStart w:id="0" w:name="_Ref178064866"/>
      <w:r w:rsidRPr="00CE0424">
        <w:t>Discussion</w:t>
      </w:r>
      <w:bookmarkEnd w:id="0"/>
    </w:p>
    <w:p w14:paraId="35F60746" w14:textId="458EBAC8" w:rsidR="006C0D5E" w:rsidRDefault="00E70E9D" w:rsidP="00B21E78">
      <w:r>
        <w:t xml:space="preserve">In LTE, </w:t>
      </w:r>
      <w:r w:rsidR="00CA5F5E">
        <w:t>limited buffer rate matching (</w:t>
      </w:r>
      <w:r>
        <w:t>LBRM</w:t>
      </w:r>
      <w:r w:rsidR="00CA5F5E">
        <w:t>)</w:t>
      </w:r>
      <w:r>
        <w:t xml:space="preserve"> only provided reduced soft memory requirements but no benefit in decoding latency</w:t>
      </w:r>
      <w:r w:rsidR="008C5AA1">
        <w:t>, since the decoding latency</w:t>
      </w:r>
      <w:r>
        <w:t xml:space="preserve"> was always driven by the turbo code mother code rate. RAN1 discussed LBRM for NR extensively during last year and found that when LBRM is applied with NR-LDPC design, decoder can benefit not only in reducing soft memory requirements, but also in reducing decoding latency. In fact this reduced decoding latency was considered very important for implementations and companies provided extensive results in email discussion [90b-NR-35] to show that there is negligible impact on performance when applying LBRM. RAN1 took this into account and amended an agreement to further increase the R_LBRM </w:t>
      </w:r>
      <w:r w:rsidR="006C0D5E">
        <w:t>(LBRM rate) from ½ to 2/3. In addition RAN1 also recognized that applying LBRM on the uplink can help with decoding latencies at the gNB (</w:t>
      </w:r>
      <w:r w:rsidR="00405A27">
        <w:t xml:space="preserve">although </w:t>
      </w:r>
      <w:r w:rsidR="006C0D5E">
        <w:t>soft memory</w:t>
      </w:r>
      <w:r w:rsidR="003501AD">
        <w:t xml:space="preserve"> reduction is not critical for gNB</w:t>
      </w:r>
      <w:r w:rsidR="006C0D5E">
        <w:t xml:space="preserve">), thus allowing support of LBRM on the uplink. As a compromise, at the time, it was decided that uplink LBRM is support though the default is to use no LBRM on the uplink. </w:t>
      </w:r>
    </w:p>
    <w:p w14:paraId="2F18E0FB" w14:textId="50ABDAF7" w:rsidR="006C0D5E" w:rsidRDefault="006C0D5E" w:rsidP="00B21E78">
      <w:r>
        <w:t>Next, we discuss the implications of optionality of the uplink LBRM feature on the gNB.</w:t>
      </w:r>
    </w:p>
    <w:p w14:paraId="7E3922A4" w14:textId="0FA05FA1" w:rsidR="006C0D5E" w:rsidRDefault="006C0D5E" w:rsidP="006C0D5E">
      <w:pPr>
        <w:rPr>
          <w:lang w:val="en-US" w:eastAsia="en-US"/>
        </w:rPr>
      </w:pPr>
      <w:r>
        <w:t xml:space="preserve">If UL LBRM is optional as UE feature (i.e., UE can choose to implement FBRM only), then a gNB has to </w:t>
      </w:r>
      <w:r w:rsidR="00CA5F5E">
        <w:t xml:space="preserve">always </w:t>
      </w:r>
      <w:r>
        <w:t>implement both LBRM and FBRM in the decoder, and thus the gNB would be unable to take advantage of the decoding latency benefit offered by uplink LBRM.  gNB is forced to dimension h</w:t>
      </w:r>
      <w:r w:rsidR="003501AD">
        <w:t>ardware</w:t>
      </w:r>
      <w:r>
        <w:t xml:space="preserve"> and decoding latency budget for the worst case, thus negating the benefit of uplink LBRM. </w:t>
      </w:r>
    </w:p>
    <w:p w14:paraId="3E05167A" w14:textId="16815638" w:rsidR="006C0D5E" w:rsidRDefault="006C0D5E" w:rsidP="006C0D5E">
      <w:pPr>
        <w:rPr>
          <w:lang w:val="en-US" w:eastAsia="en-US"/>
        </w:rPr>
      </w:pPr>
      <w:r>
        <w:t xml:space="preserve">If all UEs support UL LBRM in addition to FBRM, then a gNB can have the freedom to implement only LBRM in the decoder, and thus take advantage of the decoding latency benefit offered by uplink LBRM.  </w:t>
      </w:r>
    </w:p>
    <w:p w14:paraId="0F999C45" w14:textId="77777777" w:rsidR="007B2CB8" w:rsidRDefault="007B2CB8" w:rsidP="007B2CB8">
      <w:pPr>
        <w:pStyle w:val="TOC1"/>
        <w:rPr>
          <w:rFonts w:asciiTheme="minorHAnsi" w:eastAsiaTheme="minorEastAsia" w:hAnsiTheme="minorHAnsi" w:cstheme="minorBidi"/>
          <w:b w:val="0"/>
          <w:sz w:val="22"/>
        </w:rPr>
      </w:pPr>
      <w:r>
        <w:t>Observation 1</w:t>
      </w:r>
      <w:r>
        <w:rPr>
          <w:rFonts w:asciiTheme="minorHAnsi" w:eastAsiaTheme="minorEastAsia" w:hAnsiTheme="minorHAnsi" w:cstheme="minorBidi"/>
          <w:b w:val="0"/>
          <w:sz w:val="22"/>
        </w:rPr>
        <w:tab/>
      </w:r>
      <w:r w:rsidRPr="008D7571">
        <w:t xml:space="preserve">If UL LBRM is made optional, gNB would be unable to take advantage of decoding latency benefit, </w:t>
      </w:r>
      <w:r>
        <w:t>negating benefits of</w:t>
      </w:r>
      <w:r w:rsidRPr="008D7571">
        <w:t xml:space="preserve"> </w:t>
      </w:r>
      <w:r>
        <w:t xml:space="preserve">introducing </w:t>
      </w:r>
      <w:r w:rsidRPr="008D7571">
        <w:t>UL LBRM.</w:t>
      </w:r>
    </w:p>
    <w:p w14:paraId="70F2F306" w14:textId="500A033F" w:rsidR="006C0D5E" w:rsidRPr="008D7571" w:rsidRDefault="006C0D5E" w:rsidP="008D7571">
      <w:pPr>
        <w:pStyle w:val="Proposal"/>
        <w:numPr>
          <w:ilvl w:val="0"/>
          <w:numId w:val="0"/>
        </w:numPr>
      </w:pPr>
    </w:p>
    <w:p w14:paraId="564A3984" w14:textId="3F1ED9D6" w:rsidR="00E70E9D" w:rsidRDefault="003501AD" w:rsidP="006C0D5E">
      <w:r>
        <w:t>I</w:t>
      </w:r>
      <w:r w:rsidR="006C0D5E">
        <w:t xml:space="preserve">f UL LBRM is mandatory for UE, the gNB has the freedom to implement FBRM-only, or LBRM-only. </w:t>
      </w:r>
      <w:r w:rsidR="008D7571">
        <w:t xml:space="preserve">Hence, uplink LBRM should be </w:t>
      </w:r>
      <w:r w:rsidR="006C0D5E">
        <w:rPr>
          <w:b/>
          <w:bCs/>
        </w:rPr>
        <w:t>“mandatory with capability signal</w:t>
      </w:r>
      <w:r w:rsidR="00CA5F5E">
        <w:rPr>
          <w:b/>
          <w:bCs/>
        </w:rPr>
        <w:t>l</w:t>
      </w:r>
      <w:r w:rsidR="006C0D5E">
        <w:rPr>
          <w:b/>
          <w:bCs/>
        </w:rPr>
        <w:t>ing”</w:t>
      </w:r>
      <w:r w:rsidR="006C0D5E">
        <w:t xml:space="preserve"> in UE feature discussion, so that gNB has full freedom to choose between LBRM and FBRM. </w:t>
      </w:r>
      <w:bookmarkStart w:id="1" w:name="_GoBack"/>
      <w:bookmarkEnd w:id="1"/>
      <w:r w:rsidR="00797003">
        <w:t xml:space="preserve"> We make the same proposal in </w:t>
      </w:r>
      <w:r w:rsidR="00CA5F5E">
        <w:t>[2]</w:t>
      </w:r>
      <w:r w:rsidR="00797003">
        <w:t xml:space="preserve"> for the UE feature</w:t>
      </w:r>
      <w:r w:rsidR="00CA5F5E">
        <w:t xml:space="preserve"> discussion.</w:t>
      </w:r>
    </w:p>
    <w:p w14:paraId="16FCAD2A" w14:textId="637E2755" w:rsidR="006F29BF" w:rsidRPr="003A0E41" w:rsidRDefault="008D7571" w:rsidP="008D7571">
      <w:pPr>
        <w:pStyle w:val="Proposal"/>
        <w:tabs>
          <w:tab w:val="clear" w:pos="1304"/>
        </w:tabs>
        <w:ind w:left="1701" w:hanging="1701"/>
      </w:pPr>
      <w:bookmarkStart w:id="2" w:name="_Toc510613300"/>
      <w:bookmarkStart w:id="3" w:name="_Toc510613414"/>
      <w:bookmarkStart w:id="4" w:name="_Toc510673985"/>
      <w:r w:rsidRPr="008D7571">
        <w:t xml:space="preserve">UL LBRM </w:t>
      </w:r>
      <w:r>
        <w:t>(feature 5-</w:t>
      </w:r>
      <w:r w:rsidR="009A6C3C">
        <w:t>2</w:t>
      </w:r>
      <w:r>
        <w:t xml:space="preserve">5) </w:t>
      </w:r>
      <w:r w:rsidRPr="008D7571">
        <w:t>should be mandatory</w:t>
      </w:r>
      <w:r>
        <w:t xml:space="preserve"> with capability signal</w:t>
      </w:r>
      <w:r w:rsidR="00CA5F5E">
        <w:t>l</w:t>
      </w:r>
      <w:r>
        <w:t>ing</w:t>
      </w:r>
      <w:r w:rsidRPr="008D7571">
        <w:t>.</w:t>
      </w:r>
      <w:bookmarkEnd w:id="2"/>
      <w:bookmarkEnd w:id="3"/>
      <w:bookmarkEnd w:id="4"/>
      <w:r w:rsidRPr="008D7571">
        <w:t xml:space="preserve"> </w:t>
      </w:r>
    </w:p>
    <w:p w14:paraId="56327F3C" w14:textId="77777777" w:rsidR="00C01F33" w:rsidRPr="00CE0424" w:rsidRDefault="00C01F33" w:rsidP="003A0E41">
      <w:pPr>
        <w:pStyle w:val="Heading1"/>
      </w:pPr>
      <w:r w:rsidRPr="00CE0424">
        <w:t>Conclusion</w:t>
      </w:r>
      <w:r w:rsidR="00AE2FEB">
        <w:t>s</w:t>
      </w:r>
    </w:p>
    <w:p w14:paraId="6A4817C8" w14:textId="16BD317A" w:rsidR="002451ED" w:rsidRDefault="003A0E41" w:rsidP="008E065E">
      <w:pPr>
        <w:pStyle w:val="BodyText"/>
      </w:pPr>
      <w:r>
        <w:t>In this contribution</w:t>
      </w:r>
      <w:r w:rsidR="00DC2639">
        <w:t>,</w:t>
      </w:r>
      <w:r>
        <w:t xml:space="preserve"> we made the following ob</w:t>
      </w:r>
      <w:r w:rsidR="004033B5">
        <w:t>s</w:t>
      </w:r>
      <w:r>
        <w:t>ervation</w:t>
      </w:r>
      <w:r w:rsidR="008D7571">
        <w:t xml:space="preserve"> and form a proposal:</w:t>
      </w:r>
    </w:p>
    <w:p w14:paraId="62A50DE3" w14:textId="624822A6" w:rsidR="007B2CB8" w:rsidRDefault="00FA5AB9" w:rsidP="007B2CB8">
      <w:pPr>
        <w:pStyle w:val="TOC1"/>
        <w:rPr>
          <w:rFonts w:asciiTheme="minorHAnsi" w:eastAsiaTheme="minorEastAsia" w:hAnsiTheme="minorHAnsi" w:cstheme="minorBidi"/>
          <w:b w:val="0"/>
          <w:sz w:val="22"/>
        </w:rPr>
      </w:pPr>
      <w:r w:rsidRPr="00FA5AB9">
        <w:rPr>
          <w:rFonts w:ascii="Calibri" w:eastAsia="DengXian" w:hAnsi="Calibri"/>
          <w:bCs/>
          <w:sz w:val="22"/>
        </w:rPr>
        <w:lastRenderedPageBreak/>
        <w:fldChar w:fldCharType="begin"/>
      </w:r>
      <w:r w:rsidRPr="00FA5AB9">
        <w:rPr>
          <w:rFonts w:ascii="Calibri" w:eastAsia="DengXian" w:hAnsi="Calibri"/>
          <w:bCs/>
          <w:sz w:val="22"/>
        </w:rPr>
        <w:instrText xml:space="preserve"> TOC \f \n \t "Observation</w:instrText>
      </w:r>
      <w:r>
        <w:rPr>
          <w:rFonts w:ascii="Calibri" w:eastAsia="DengXian" w:hAnsi="Calibri"/>
          <w:b w:val="0"/>
          <w:bCs/>
          <w:sz w:val="22"/>
        </w:rPr>
        <w:instrText>,</w:instrText>
      </w:r>
      <w:r w:rsidRPr="00FA5AB9">
        <w:rPr>
          <w:rFonts w:ascii="Calibri" w:eastAsia="DengXian" w:hAnsi="Calibri"/>
          <w:bCs/>
          <w:sz w:val="22"/>
        </w:rPr>
        <w:instrText xml:space="preserve">1" </w:instrText>
      </w:r>
      <w:r w:rsidRPr="00FA5AB9">
        <w:rPr>
          <w:rFonts w:ascii="Calibri" w:eastAsia="DengXian" w:hAnsi="Calibri"/>
          <w:bCs/>
          <w:sz w:val="22"/>
        </w:rPr>
        <w:fldChar w:fldCharType="separate"/>
      </w:r>
      <w:r w:rsidR="007B2CB8">
        <w:t>Observation 1</w:t>
      </w:r>
      <w:r w:rsidR="007B2CB8">
        <w:rPr>
          <w:rFonts w:asciiTheme="minorHAnsi" w:eastAsiaTheme="minorEastAsia" w:hAnsiTheme="minorHAnsi" w:cstheme="minorBidi"/>
          <w:b w:val="0"/>
          <w:sz w:val="22"/>
        </w:rPr>
        <w:tab/>
      </w:r>
      <w:r w:rsidR="007B2CB8" w:rsidRPr="008D7571">
        <w:t xml:space="preserve">If UL LBRM is made optional, gNB would be unable to take advantage of decoding latency benefit, </w:t>
      </w:r>
      <w:r w:rsidR="007B2CB8">
        <w:t>negating benefits of</w:t>
      </w:r>
      <w:r w:rsidR="007B2CB8" w:rsidRPr="008D7571">
        <w:t xml:space="preserve"> </w:t>
      </w:r>
      <w:r w:rsidR="007B2CB8">
        <w:t xml:space="preserve">introducing </w:t>
      </w:r>
      <w:r w:rsidR="007B2CB8" w:rsidRPr="008D7571">
        <w:t>UL LBRM.</w:t>
      </w:r>
    </w:p>
    <w:p w14:paraId="69BC3613" w14:textId="77777777" w:rsidR="009A6C3C" w:rsidRDefault="00FA5AB9" w:rsidP="007B2CB8">
      <w:pPr>
        <w:pStyle w:val="TOC1"/>
        <w:ind w:left="0" w:firstLine="0"/>
      </w:pPr>
      <w:r w:rsidRPr="00FA5AB9">
        <w:rPr>
          <w:rFonts w:ascii="Calibri" w:eastAsia="DengXian" w:hAnsi="Calibri"/>
          <w:b w:val="0"/>
          <w:bCs/>
          <w:sz w:val="22"/>
        </w:rPr>
        <w:fldChar w:fldCharType="end"/>
      </w:r>
      <w:r w:rsidRPr="00FA5AB9">
        <w:rPr>
          <w:rFonts w:ascii="Calibri" w:eastAsia="DengXian" w:hAnsi="Calibri"/>
          <w:bCs/>
          <w:sz w:val="22"/>
        </w:rPr>
        <w:fldChar w:fldCharType="begin"/>
      </w:r>
      <w:r w:rsidRPr="00FA5AB9">
        <w:rPr>
          <w:rFonts w:ascii="Calibri" w:eastAsia="DengXian" w:hAnsi="Calibri"/>
          <w:bCs/>
          <w:sz w:val="22"/>
        </w:rPr>
        <w:instrText xml:space="preserve"> TOC \f \n \p " " \t "Proposal</w:instrText>
      </w:r>
      <w:r>
        <w:rPr>
          <w:rFonts w:ascii="Calibri" w:eastAsia="DengXian" w:hAnsi="Calibri"/>
          <w:b w:val="0"/>
          <w:bCs/>
          <w:sz w:val="22"/>
        </w:rPr>
        <w:instrText>,</w:instrText>
      </w:r>
      <w:r w:rsidRPr="00FA5AB9">
        <w:rPr>
          <w:rFonts w:ascii="Calibri" w:eastAsia="DengXian" w:hAnsi="Calibri"/>
          <w:bCs/>
          <w:sz w:val="22"/>
        </w:rPr>
        <w:instrText xml:space="preserve">1" </w:instrText>
      </w:r>
      <w:r w:rsidRPr="00FA5AB9">
        <w:rPr>
          <w:rFonts w:ascii="Calibri" w:eastAsia="DengXian" w:hAnsi="Calibri"/>
          <w:bCs/>
          <w:sz w:val="22"/>
        </w:rPr>
        <w:fldChar w:fldCharType="separate"/>
      </w:r>
    </w:p>
    <w:p w14:paraId="7473686A" w14:textId="77777777" w:rsidR="009A6C3C" w:rsidRDefault="009A6C3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UL LBRM (feature 5-25) should be mandatory with capability signaling.</w:t>
      </w:r>
    </w:p>
    <w:p w14:paraId="68105AEC" w14:textId="24016CB3" w:rsidR="00FA5AB9" w:rsidRPr="00790B99" w:rsidRDefault="00FA5AB9" w:rsidP="00FA5AB9">
      <w:pPr>
        <w:pStyle w:val="BodyText"/>
        <w:rPr>
          <w:b/>
          <w:bCs/>
        </w:rPr>
      </w:pPr>
      <w:r w:rsidRPr="00FA5AB9">
        <w:rPr>
          <w:rFonts w:ascii="Calibri" w:eastAsia="DengXian" w:hAnsi="Calibri"/>
          <w:b/>
          <w:bCs/>
          <w:sz w:val="22"/>
          <w:szCs w:val="22"/>
          <w:lang w:val="en-US"/>
        </w:rPr>
        <w:fldChar w:fldCharType="end"/>
      </w:r>
    </w:p>
    <w:p w14:paraId="5B3C850D" w14:textId="77777777" w:rsidR="00F507D1" w:rsidRPr="00CE0424" w:rsidRDefault="00F507D1" w:rsidP="00CE0424">
      <w:pPr>
        <w:pStyle w:val="Heading1"/>
      </w:pPr>
      <w:bookmarkStart w:id="5" w:name="_In-sequence_SDU_delivery"/>
      <w:bookmarkEnd w:id="5"/>
      <w:r w:rsidRPr="00CE0424">
        <w:t>References</w:t>
      </w:r>
    </w:p>
    <w:p w14:paraId="5283CDDA" w14:textId="37EF7158" w:rsidR="005B4D48" w:rsidRDefault="00DA782F" w:rsidP="008D7571">
      <w:pPr>
        <w:pStyle w:val="Reference"/>
      </w:pPr>
      <w:r w:rsidRPr="00DA782F">
        <w:t>RP-180596</w:t>
      </w:r>
      <w:r>
        <w:t xml:space="preserve">, </w:t>
      </w:r>
      <w:r w:rsidR="008D7571" w:rsidRPr="008D7571">
        <w:t>LS on NR UE feature list</w:t>
      </w:r>
      <w:r w:rsidR="008D7571">
        <w:t>, RAN#79, March 2018</w:t>
      </w:r>
    </w:p>
    <w:p w14:paraId="77DBFE4E" w14:textId="01C4245E" w:rsidR="00797003" w:rsidRDefault="00797003" w:rsidP="008D7571">
      <w:pPr>
        <w:pStyle w:val="Reference"/>
      </w:pPr>
      <w:r>
        <w:t>R1-1805002, Ericsson, “Discussion on UE capability list”, RAN1#92bis, Apr 2018.</w:t>
      </w:r>
    </w:p>
    <w:sectPr w:rsidR="00797003"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409B0" w14:textId="77777777" w:rsidR="008715BF" w:rsidRDefault="008715BF">
      <w:r>
        <w:separator/>
      </w:r>
    </w:p>
  </w:endnote>
  <w:endnote w:type="continuationSeparator" w:id="0">
    <w:p w14:paraId="5F792488" w14:textId="77777777" w:rsidR="008715BF" w:rsidRDefault="00871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29DC6398" w:rsidR="00E70E9D" w:rsidRDefault="00E70E9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51F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51F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F6097" w14:textId="77777777" w:rsidR="008715BF" w:rsidRDefault="008715BF">
      <w:r>
        <w:separator/>
      </w:r>
    </w:p>
  </w:footnote>
  <w:footnote w:type="continuationSeparator" w:id="0">
    <w:p w14:paraId="678D9A4C" w14:textId="77777777" w:rsidR="008715BF" w:rsidRDefault="00871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70E9D" w:rsidRDefault="00E70E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F542B9"/>
    <w:multiLevelType w:val="hybridMultilevel"/>
    <w:tmpl w:val="0E787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EF346C"/>
    <w:multiLevelType w:val="hybridMultilevel"/>
    <w:tmpl w:val="87EAC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0"/>
  </w:num>
  <w:num w:numId="15">
    <w:abstractNumId w:val="11"/>
  </w:num>
  <w:num w:numId="16">
    <w:abstractNumId w:val="5"/>
  </w:num>
  <w:num w:numId="17">
    <w:abstractNumId w:val="18"/>
  </w:num>
  <w:num w:numId="18">
    <w:abstractNumId w:val="6"/>
  </w:num>
  <w:num w:numId="19">
    <w:abstractNumId w:val="4"/>
  </w:num>
  <w:num w:numId="20">
    <w:abstractNumId w:val="12"/>
  </w:num>
  <w:num w:numId="21">
    <w:abstractNumId w:val="12"/>
  </w:num>
  <w:num w:numId="2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3BA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87C1E"/>
    <w:rsid w:val="00190AC1"/>
    <w:rsid w:val="0019341A"/>
    <w:rsid w:val="00197DF9"/>
    <w:rsid w:val="001A1987"/>
    <w:rsid w:val="001A2564"/>
    <w:rsid w:val="001A6173"/>
    <w:rsid w:val="001A6CBA"/>
    <w:rsid w:val="001B0D97"/>
    <w:rsid w:val="001B5A5D"/>
    <w:rsid w:val="001C1CE5"/>
    <w:rsid w:val="001C3A8B"/>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51F8"/>
    <w:rsid w:val="00257543"/>
    <w:rsid w:val="002611E7"/>
    <w:rsid w:val="002617E7"/>
    <w:rsid w:val="002622C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1DD"/>
    <w:rsid w:val="002C41E6"/>
    <w:rsid w:val="002D071A"/>
    <w:rsid w:val="002D34B2"/>
    <w:rsid w:val="002D7637"/>
    <w:rsid w:val="002E17F2"/>
    <w:rsid w:val="002E1CB3"/>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01AD"/>
    <w:rsid w:val="00356A14"/>
    <w:rsid w:val="00357380"/>
    <w:rsid w:val="003602D9"/>
    <w:rsid w:val="003604CE"/>
    <w:rsid w:val="00365F55"/>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5A5"/>
    <w:rsid w:val="003F6BBE"/>
    <w:rsid w:val="004000E8"/>
    <w:rsid w:val="00402E2B"/>
    <w:rsid w:val="004033B5"/>
    <w:rsid w:val="0040452C"/>
    <w:rsid w:val="004050EA"/>
    <w:rsid w:val="0040512B"/>
    <w:rsid w:val="00405A27"/>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4F25"/>
    <w:rsid w:val="005A5202"/>
    <w:rsid w:val="005A662D"/>
    <w:rsid w:val="005B35D7"/>
    <w:rsid w:val="005B392A"/>
    <w:rsid w:val="005B3AA3"/>
    <w:rsid w:val="005B4D48"/>
    <w:rsid w:val="005B57CC"/>
    <w:rsid w:val="005B6F83"/>
    <w:rsid w:val="005C33D4"/>
    <w:rsid w:val="005C6DD7"/>
    <w:rsid w:val="005C74FB"/>
    <w:rsid w:val="005D1602"/>
    <w:rsid w:val="005E385F"/>
    <w:rsid w:val="005E5B81"/>
    <w:rsid w:val="005F2CB1"/>
    <w:rsid w:val="005F3025"/>
    <w:rsid w:val="005F618C"/>
    <w:rsid w:val="005F70BD"/>
    <w:rsid w:val="0060283C"/>
    <w:rsid w:val="00604F14"/>
    <w:rsid w:val="00611B83"/>
    <w:rsid w:val="00612DAC"/>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2D2"/>
    <w:rsid w:val="006A5E28"/>
    <w:rsid w:val="006A6585"/>
    <w:rsid w:val="006A697B"/>
    <w:rsid w:val="006A7AFF"/>
    <w:rsid w:val="006B1816"/>
    <w:rsid w:val="006B2099"/>
    <w:rsid w:val="006B50CF"/>
    <w:rsid w:val="006C03B8"/>
    <w:rsid w:val="006C0D5E"/>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29BF"/>
    <w:rsid w:val="006F341D"/>
    <w:rsid w:val="006F3CDE"/>
    <w:rsid w:val="006F4D06"/>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97003"/>
    <w:rsid w:val="007A1CB3"/>
    <w:rsid w:val="007A306F"/>
    <w:rsid w:val="007A43A6"/>
    <w:rsid w:val="007A58A6"/>
    <w:rsid w:val="007A5B38"/>
    <w:rsid w:val="007B2CB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2F44"/>
    <w:rsid w:val="008235DB"/>
    <w:rsid w:val="00824AB4"/>
    <w:rsid w:val="00825C42"/>
    <w:rsid w:val="00825D25"/>
    <w:rsid w:val="00826043"/>
    <w:rsid w:val="00827D6F"/>
    <w:rsid w:val="008376AC"/>
    <w:rsid w:val="008444E8"/>
    <w:rsid w:val="00844E80"/>
    <w:rsid w:val="00846FE7"/>
    <w:rsid w:val="00856911"/>
    <w:rsid w:val="008677FD"/>
    <w:rsid w:val="008706D4"/>
    <w:rsid w:val="00870F8A"/>
    <w:rsid w:val="008715BF"/>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7BD"/>
    <w:rsid w:val="008C4958"/>
    <w:rsid w:val="008C4BAA"/>
    <w:rsid w:val="008C5AA1"/>
    <w:rsid w:val="008C6AE8"/>
    <w:rsid w:val="008C7573"/>
    <w:rsid w:val="008D34F1"/>
    <w:rsid w:val="008D39D8"/>
    <w:rsid w:val="008D6D1A"/>
    <w:rsid w:val="008D7571"/>
    <w:rsid w:val="008E065E"/>
    <w:rsid w:val="008E0927"/>
    <w:rsid w:val="008E1909"/>
    <w:rsid w:val="008F1EAB"/>
    <w:rsid w:val="008F33DC"/>
    <w:rsid w:val="008F477F"/>
    <w:rsid w:val="008F77A7"/>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23C6"/>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6C3C"/>
    <w:rsid w:val="009B1F30"/>
    <w:rsid w:val="009B3AC2"/>
    <w:rsid w:val="009B4DF4"/>
    <w:rsid w:val="009B564E"/>
    <w:rsid w:val="009B7E87"/>
    <w:rsid w:val="009C403E"/>
    <w:rsid w:val="009C6832"/>
    <w:rsid w:val="009D4FF0"/>
    <w:rsid w:val="009D54D1"/>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0DC2"/>
    <w:rsid w:val="00A3448A"/>
    <w:rsid w:val="00A36297"/>
    <w:rsid w:val="00A41E2B"/>
    <w:rsid w:val="00A45B74"/>
    <w:rsid w:val="00A52E1D"/>
    <w:rsid w:val="00A61499"/>
    <w:rsid w:val="00A62A77"/>
    <w:rsid w:val="00A63483"/>
    <w:rsid w:val="00A657D7"/>
    <w:rsid w:val="00A660AC"/>
    <w:rsid w:val="00A665D2"/>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1E78"/>
    <w:rsid w:val="00B23C18"/>
    <w:rsid w:val="00B2763F"/>
    <w:rsid w:val="00B27AAC"/>
    <w:rsid w:val="00B30929"/>
    <w:rsid w:val="00B372AA"/>
    <w:rsid w:val="00B40445"/>
    <w:rsid w:val="00B4046F"/>
    <w:rsid w:val="00B41888"/>
    <w:rsid w:val="00B45A52"/>
    <w:rsid w:val="00B46175"/>
    <w:rsid w:val="00B664C7"/>
    <w:rsid w:val="00B739F6"/>
    <w:rsid w:val="00B75A51"/>
    <w:rsid w:val="00B81A6C"/>
    <w:rsid w:val="00B85DE5"/>
    <w:rsid w:val="00B90F73"/>
    <w:rsid w:val="00B93B59"/>
    <w:rsid w:val="00B9406A"/>
    <w:rsid w:val="00B976B3"/>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E74"/>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B3F"/>
    <w:rsid w:val="00C54D41"/>
    <w:rsid w:val="00C60783"/>
    <w:rsid w:val="00C64672"/>
    <w:rsid w:val="00C666B5"/>
    <w:rsid w:val="00C70697"/>
    <w:rsid w:val="00C72EF4"/>
    <w:rsid w:val="00C73A84"/>
    <w:rsid w:val="00C75D2F"/>
    <w:rsid w:val="00C767BE"/>
    <w:rsid w:val="00C76E3C"/>
    <w:rsid w:val="00C81568"/>
    <w:rsid w:val="00C87563"/>
    <w:rsid w:val="00C9027A"/>
    <w:rsid w:val="00C9068E"/>
    <w:rsid w:val="00C93C4B"/>
    <w:rsid w:val="00C944AB"/>
    <w:rsid w:val="00C95B40"/>
    <w:rsid w:val="00CA1068"/>
    <w:rsid w:val="00CA1ED8"/>
    <w:rsid w:val="00CA2417"/>
    <w:rsid w:val="00CA5F5E"/>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309B"/>
    <w:rsid w:val="00D652B5"/>
    <w:rsid w:val="00D66155"/>
    <w:rsid w:val="00D708B0"/>
    <w:rsid w:val="00D770BE"/>
    <w:rsid w:val="00D77B1D"/>
    <w:rsid w:val="00D8021F"/>
    <w:rsid w:val="00D80383"/>
    <w:rsid w:val="00D823C6"/>
    <w:rsid w:val="00D86CA3"/>
    <w:rsid w:val="00D871CE"/>
    <w:rsid w:val="00D87836"/>
    <w:rsid w:val="00D9196D"/>
    <w:rsid w:val="00D92982"/>
    <w:rsid w:val="00DA0E65"/>
    <w:rsid w:val="00DA305E"/>
    <w:rsid w:val="00DA5417"/>
    <w:rsid w:val="00DA56E8"/>
    <w:rsid w:val="00DA782F"/>
    <w:rsid w:val="00DB0A9F"/>
    <w:rsid w:val="00DB377D"/>
    <w:rsid w:val="00DC2639"/>
    <w:rsid w:val="00DC2D36"/>
    <w:rsid w:val="00DC53EF"/>
    <w:rsid w:val="00DE5608"/>
    <w:rsid w:val="00DE58D0"/>
    <w:rsid w:val="00DE654F"/>
    <w:rsid w:val="00DF0B6E"/>
    <w:rsid w:val="00DF15E0"/>
    <w:rsid w:val="00DF37A0"/>
    <w:rsid w:val="00E110E7"/>
    <w:rsid w:val="00E11B20"/>
    <w:rsid w:val="00E178C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0E9D"/>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E7A8A"/>
    <w:rsid w:val="00EF18FE"/>
    <w:rsid w:val="00EF5787"/>
    <w:rsid w:val="00EF60D0"/>
    <w:rsid w:val="00F0528D"/>
    <w:rsid w:val="00F05B39"/>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AB9"/>
    <w:rsid w:val="00FB4417"/>
    <w:rsid w:val="00FB4C80"/>
    <w:rsid w:val="00FB6A6A"/>
    <w:rsid w:val="00FC7429"/>
    <w:rsid w:val="00FD07F6"/>
    <w:rsid w:val="00FD1EC8"/>
    <w:rsid w:val="00FD47ED"/>
    <w:rsid w:val="00FD74DB"/>
    <w:rsid w:val="00FD7660"/>
    <w:rsid w:val="00FE0655"/>
    <w:rsid w:val="00FE2365"/>
    <w:rsid w:val="00FE262A"/>
    <w:rsid w:val="00FE37D7"/>
    <w:rsid w:val="00FE4C7B"/>
    <w:rsid w:val="00FE7336"/>
    <w:rsid w:val="00FE787C"/>
    <w:rsid w:val="00FF45A5"/>
    <w:rsid w:val="00FF5C91"/>
    <w:rsid w:val="00FF7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1282BFC7-A673-4ECC-A38F-0BB9AF4C1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404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293171">
      <w:bodyDiv w:val="1"/>
      <w:marLeft w:val="0"/>
      <w:marRight w:val="0"/>
      <w:marTop w:val="0"/>
      <w:marBottom w:val="0"/>
      <w:divBdr>
        <w:top w:val="none" w:sz="0" w:space="0" w:color="auto"/>
        <w:left w:val="none" w:sz="0" w:space="0" w:color="auto"/>
        <w:bottom w:val="none" w:sz="0" w:space="0" w:color="auto"/>
        <w:right w:val="none" w:sz="0" w:space="0" w:color="auto"/>
      </w:divBdr>
    </w:div>
    <w:div w:id="74738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EriCOLLCategoryTaxHTField0>
    <EriCOLLOrganizationUnitTaxHTField0 xmlns="7789c8df-cd92-43c1-8a83-195dbc0f0a0a">
      <Terms xmlns="http://schemas.microsoft.com/office/infopath/2007/PartnerControls"/>
    </EriCOLLOrganizationUnitTaxHTField0>
    <_dlc_DocId xmlns="08b2df90-05d3-4030-90d4-c9feeb4a1cd9" xsi:nil="true"/>
    <TaxCatchAll xmlns="08b2df90-05d3-4030-90d4-c9feeb4a1cd9"/>
    <_dlc_DocIdUrl xmlns="08b2df90-05d3-4030-90d4-c9feeb4a1cd9">
      <Url xsi:nil="true"/>
      <Description xsi:nil="true"/>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11111111-1111-1111-1111-111111111111</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3B6D4989-2524-457B-9B2D-AB941E049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TotalTime>
  <Pages>2</Pages>
  <Words>504</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cp:lastModifiedBy>Yufei Blankenship</cp:lastModifiedBy>
  <cp:revision>6</cp:revision>
  <cp:lastPrinted>2008-01-31T15:09:00Z</cp:lastPrinted>
  <dcterms:created xsi:type="dcterms:W3CDTF">2018-04-06T21:07:00Z</dcterms:created>
  <dcterms:modified xsi:type="dcterms:W3CDTF">2018-04-06T21:14:00Z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